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8E1" w:rsidRDefault="009608E1"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933E44" w:rsidP="00562F7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Minnesota </w:t>
      </w:r>
      <w:r w:rsidR="00562F7B">
        <w:rPr>
          <w:rFonts w:ascii="Times New Roman" w:hAnsi="Times New Roman" w:cs="Times New Roman"/>
          <w:sz w:val="24"/>
          <w:szCs w:val="24"/>
        </w:rPr>
        <w:t>Law</w:t>
      </w:r>
    </w:p>
    <w:p w:rsidR="00562F7B" w:rsidRDefault="00562F7B" w:rsidP="00562F7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62F7B" w:rsidRDefault="00562F7B" w:rsidP="00562F7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562F7B" w:rsidRDefault="00562F7B"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562F7B" w:rsidP="00562F7B">
      <w:pPr>
        <w:spacing w:line="480" w:lineRule="auto"/>
        <w:jc w:val="center"/>
        <w:rPr>
          <w:rFonts w:ascii="Times New Roman" w:hAnsi="Times New Roman" w:cs="Times New Roman"/>
          <w:sz w:val="24"/>
          <w:szCs w:val="24"/>
        </w:rPr>
      </w:pPr>
    </w:p>
    <w:p w:rsidR="00562F7B" w:rsidRDefault="00933E44" w:rsidP="00562F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Minnesota </w:t>
      </w:r>
      <w:r w:rsidR="00562F7B">
        <w:rPr>
          <w:rFonts w:ascii="Times New Roman" w:hAnsi="Times New Roman" w:cs="Times New Roman"/>
          <w:sz w:val="24"/>
          <w:szCs w:val="24"/>
        </w:rPr>
        <w:t>Law</w:t>
      </w:r>
    </w:p>
    <w:p w:rsidR="00562F7B" w:rsidRDefault="00562F7B" w:rsidP="00562F7B">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persons not allowed to practic</w:t>
      </w:r>
      <w:r w:rsidR="00887152">
        <w:rPr>
          <w:rFonts w:ascii="Times New Roman" w:hAnsi="Times New Roman" w:cs="Times New Roman"/>
          <w:sz w:val="24"/>
          <w:szCs w:val="24"/>
        </w:rPr>
        <w:t>e law in the state of Minnesota</w:t>
      </w:r>
    </w:p>
    <w:p w:rsidR="00562F7B" w:rsidRDefault="00100FDA" w:rsidP="00100FDA">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AC48E6">
        <w:rPr>
          <w:rFonts w:ascii="Times New Roman" w:hAnsi="Times New Roman" w:cs="Times New Roman"/>
          <w:sz w:val="24"/>
          <w:szCs w:val="24"/>
        </w:rPr>
        <w:t>ccording to Minn. Stat. 481.02 subdivision 1, a</w:t>
      </w:r>
      <w:r>
        <w:rPr>
          <w:rFonts w:ascii="Times New Roman" w:hAnsi="Times New Roman" w:cs="Times New Roman"/>
          <w:sz w:val="24"/>
          <w:szCs w:val="24"/>
        </w:rPr>
        <w:t>ny person or an association of persons, who are not members of the bar of Minnesota, and are licensed to be attorneys at law, is prohibited to act as a counselor or an attorney at law in any proceeding or action in any court in Minnesota. The person or the association of persons is prohibited by law to defend, maintain or conduct a proceeding or action in a court of law in Minnesota.</w:t>
      </w:r>
      <w:r w:rsidR="00CA3476">
        <w:rPr>
          <w:rFonts w:ascii="Times New Roman" w:hAnsi="Times New Roman" w:cs="Times New Roman"/>
          <w:sz w:val="24"/>
          <w:szCs w:val="24"/>
        </w:rPr>
        <w:t xml:space="preserve"> I</w:t>
      </w:r>
      <w:r w:rsidR="00AC48E6">
        <w:rPr>
          <w:rFonts w:ascii="Times New Roman" w:hAnsi="Times New Roman" w:cs="Times New Roman"/>
          <w:sz w:val="24"/>
          <w:szCs w:val="24"/>
        </w:rPr>
        <w:t>n subdivision 2 of Minn. Stat. 481.02, i</w:t>
      </w:r>
      <w:r w:rsidR="00CA3476">
        <w:rPr>
          <w:rFonts w:ascii="Times New Roman" w:hAnsi="Times New Roman" w:cs="Times New Roman"/>
          <w:sz w:val="24"/>
          <w:szCs w:val="24"/>
        </w:rPr>
        <w:t>t is also unlawful for any corporation that is organized for pecuniary profit, through or by its employees or officers or any party, to conduct, defend, or maintain, except on its own when a party is litigant, any proceeding or action in any Minnesota court. The only corporations allowed to do the above are the professional firms of attorneys organized under chapter 319B.</w:t>
      </w:r>
    </w:p>
    <w:p w:rsidR="00887152" w:rsidRDefault="00887152" w:rsidP="00100FDA">
      <w:pPr>
        <w:spacing w:line="480" w:lineRule="auto"/>
        <w:ind w:firstLine="720"/>
        <w:rPr>
          <w:rFonts w:ascii="Times New Roman" w:hAnsi="Times New Roman" w:cs="Times New Roman"/>
          <w:sz w:val="24"/>
          <w:szCs w:val="24"/>
        </w:rPr>
      </w:pPr>
    </w:p>
    <w:p w:rsidR="00AC48E6" w:rsidRDefault="00AC48E6" w:rsidP="00AC48E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penalty for UPL</w:t>
      </w:r>
    </w:p>
    <w:p w:rsidR="00AC48E6" w:rsidRDefault="00AC48E6" w:rsidP="008871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any corporation or person, or an employee or an officer thereof violates any foregoing provisions will be considered guilty of misdemeanor. The penalty for the unlawful practice of the law (UPL), according to Minn. Stat. 481.02 subdivision 8 (a), </w:t>
      </w:r>
      <w:r w:rsidR="00887152">
        <w:rPr>
          <w:rFonts w:ascii="Times New Roman" w:hAnsi="Times New Roman" w:cs="Times New Roman"/>
          <w:sz w:val="24"/>
          <w:szCs w:val="24"/>
        </w:rPr>
        <w:t>is according to the statute given for punishing misdemeanors. The county attorneys in that respective area shall take the responsibility of prosecuting the violations of the section, and the sole jurisdiction of this kind of offense lies with the district courts of Minnesota under this section.</w:t>
      </w:r>
    </w:p>
    <w:p w:rsidR="00887152" w:rsidRDefault="00887152" w:rsidP="00887152">
      <w:pPr>
        <w:spacing w:line="480" w:lineRule="auto"/>
        <w:ind w:firstLine="720"/>
        <w:rPr>
          <w:rFonts w:ascii="Times New Roman" w:hAnsi="Times New Roman" w:cs="Times New Roman"/>
          <w:sz w:val="24"/>
          <w:szCs w:val="24"/>
        </w:rPr>
      </w:pPr>
    </w:p>
    <w:p w:rsidR="00887152" w:rsidRDefault="00887152" w:rsidP="00887152">
      <w:pPr>
        <w:spacing w:line="480" w:lineRule="auto"/>
        <w:ind w:firstLine="720"/>
        <w:rPr>
          <w:rFonts w:ascii="Times New Roman" w:hAnsi="Times New Roman" w:cs="Times New Roman"/>
          <w:sz w:val="24"/>
          <w:szCs w:val="24"/>
        </w:rPr>
      </w:pPr>
    </w:p>
    <w:p w:rsidR="00887152" w:rsidRDefault="00887152" w:rsidP="0088715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Actions not considered as UPL in Minn. Stat. 481.02 subdivision 3</w:t>
      </w:r>
    </w:p>
    <w:p w:rsidR="00887152" w:rsidRPr="00887152" w:rsidRDefault="00887152" w:rsidP="008871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permitted actions are: no person is prohibited from drawing without a charge, any document, to which </w:t>
      </w:r>
      <w:r w:rsidR="00BB68EA">
        <w:rPr>
          <w:rFonts w:ascii="Times New Roman" w:hAnsi="Times New Roman" w:cs="Times New Roman"/>
          <w:sz w:val="24"/>
          <w:szCs w:val="24"/>
        </w:rPr>
        <w:t xml:space="preserve">the person has a work relationship with the firm or corporation. Any person can also draw a will for another in case of an emergency if there is no sufficient time left to draw it being supervised by an attorney who is licensed. The other action allowed is giving legal advice by a bona fide labor organization to its members in matters arising from their employment. A licensed attorney can also act for different common-carrier corporations. Any insurance company can be defended through the lawyers they select according to the terms of the policies. A </w:t>
      </w:r>
      <w:r w:rsidR="00933E44">
        <w:rPr>
          <w:rFonts w:ascii="Times New Roman" w:hAnsi="Times New Roman" w:cs="Times New Roman"/>
          <w:sz w:val="24"/>
          <w:szCs w:val="24"/>
        </w:rPr>
        <w:t xml:space="preserve">person or </w:t>
      </w:r>
      <w:r w:rsidR="00BB68EA">
        <w:rPr>
          <w:rFonts w:ascii="Times New Roman" w:hAnsi="Times New Roman" w:cs="Times New Roman"/>
          <w:sz w:val="24"/>
          <w:szCs w:val="24"/>
        </w:rPr>
        <w:t xml:space="preserve">corporation can also draw, without or for a fee, </w:t>
      </w:r>
      <w:r w:rsidR="00933E44">
        <w:rPr>
          <w:rFonts w:ascii="Times New Roman" w:hAnsi="Times New Roman" w:cs="Times New Roman"/>
          <w:sz w:val="24"/>
          <w:szCs w:val="24"/>
        </w:rPr>
        <w:t>can draw notes, farm or house leases, chattel mortgages, mortgages, bills of sale, satisfactions, assignments, or any other conveyances except instruments of trust and testamentary dispositions.</w:t>
      </w:r>
    </w:p>
    <w:sectPr w:rsidR="00887152" w:rsidRPr="00887152" w:rsidSect="00933E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15A" w:rsidRDefault="00F3415A" w:rsidP="00933E44">
      <w:pPr>
        <w:spacing w:after="0" w:line="240" w:lineRule="auto"/>
      </w:pPr>
      <w:r>
        <w:separator/>
      </w:r>
    </w:p>
  </w:endnote>
  <w:endnote w:type="continuationSeparator" w:id="1">
    <w:p w:rsidR="00F3415A" w:rsidRDefault="00F3415A" w:rsidP="00933E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15A" w:rsidRDefault="00F3415A" w:rsidP="00933E44">
      <w:pPr>
        <w:spacing w:after="0" w:line="240" w:lineRule="auto"/>
      </w:pPr>
      <w:r>
        <w:separator/>
      </w:r>
    </w:p>
  </w:footnote>
  <w:footnote w:type="continuationSeparator" w:id="1">
    <w:p w:rsidR="00F3415A" w:rsidRDefault="00F3415A" w:rsidP="00933E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539329"/>
      <w:docPartObj>
        <w:docPartGallery w:val="Page Numbers (Top of Page)"/>
        <w:docPartUnique/>
      </w:docPartObj>
    </w:sdtPr>
    <w:sdtContent>
      <w:p w:rsidR="00933E44" w:rsidRPr="00933E44" w:rsidRDefault="00933E44">
        <w:pPr>
          <w:pStyle w:val="Header"/>
          <w:jc w:val="right"/>
          <w:rPr>
            <w:rFonts w:ascii="Times New Roman" w:hAnsi="Times New Roman" w:cs="Times New Roman"/>
            <w:sz w:val="24"/>
            <w:szCs w:val="24"/>
          </w:rPr>
        </w:pPr>
        <w:r w:rsidRPr="00933E44">
          <w:rPr>
            <w:rFonts w:ascii="Times New Roman" w:hAnsi="Times New Roman" w:cs="Times New Roman"/>
            <w:sz w:val="24"/>
            <w:szCs w:val="24"/>
          </w:rPr>
          <w:t>MINNESOTA LAW</w:t>
        </w:r>
        <w:r w:rsidRPr="00933E44">
          <w:rPr>
            <w:rFonts w:ascii="Times New Roman" w:hAnsi="Times New Roman" w:cs="Times New Roman"/>
            <w:sz w:val="24"/>
            <w:szCs w:val="24"/>
          </w:rPr>
          <w:tab/>
        </w:r>
        <w:r w:rsidRPr="00933E44">
          <w:rPr>
            <w:rFonts w:ascii="Times New Roman" w:hAnsi="Times New Roman" w:cs="Times New Roman"/>
            <w:sz w:val="24"/>
            <w:szCs w:val="24"/>
          </w:rPr>
          <w:tab/>
        </w:r>
        <w:r w:rsidRPr="00933E44">
          <w:rPr>
            <w:rFonts w:ascii="Times New Roman" w:hAnsi="Times New Roman" w:cs="Times New Roman"/>
            <w:sz w:val="24"/>
            <w:szCs w:val="24"/>
          </w:rPr>
          <w:fldChar w:fldCharType="begin"/>
        </w:r>
        <w:r w:rsidRPr="00933E44">
          <w:rPr>
            <w:rFonts w:ascii="Times New Roman" w:hAnsi="Times New Roman" w:cs="Times New Roman"/>
            <w:sz w:val="24"/>
            <w:szCs w:val="24"/>
          </w:rPr>
          <w:instrText xml:space="preserve"> PAGE   \* MERGEFORMAT </w:instrText>
        </w:r>
        <w:r w:rsidRPr="00933E44">
          <w:rPr>
            <w:rFonts w:ascii="Times New Roman" w:hAnsi="Times New Roman" w:cs="Times New Roman"/>
            <w:sz w:val="24"/>
            <w:szCs w:val="24"/>
          </w:rPr>
          <w:fldChar w:fldCharType="separate"/>
        </w:r>
        <w:r>
          <w:rPr>
            <w:rFonts w:ascii="Times New Roman" w:hAnsi="Times New Roman" w:cs="Times New Roman"/>
            <w:noProof/>
            <w:sz w:val="24"/>
            <w:szCs w:val="24"/>
          </w:rPr>
          <w:t>3</w:t>
        </w:r>
        <w:r w:rsidRPr="00933E44">
          <w:rPr>
            <w:rFonts w:ascii="Times New Roman" w:hAnsi="Times New Roman" w:cs="Times New Roman"/>
            <w:sz w:val="24"/>
            <w:szCs w:val="24"/>
          </w:rPr>
          <w:fldChar w:fldCharType="end"/>
        </w:r>
      </w:p>
    </w:sdtContent>
  </w:sdt>
  <w:p w:rsidR="00933E44" w:rsidRDefault="00933E4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44" w:rsidRPr="00933E44" w:rsidRDefault="00933E44" w:rsidP="00933E44">
    <w:pPr>
      <w:pStyle w:val="Header"/>
      <w:spacing w:line="480" w:lineRule="auto"/>
      <w:jc w:val="right"/>
      <w:rPr>
        <w:rFonts w:ascii="Times New Roman" w:hAnsi="Times New Roman" w:cs="Times New Roman"/>
        <w:sz w:val="24"/>
        <w:szCs w:val="24"/>
      </w:rPr>
    </w:pPr>
    <w:r w:rsidRPr="00933E44">
      <w:rPr>
        <w:rFonts w:ascii="Times New Roman" w:hAnsi="Times New Roman" w:cs="Times New Roman"/>
        <w:sz w:val="24"/>
        <w:szCs w:val="24"/>
      </w:rPr>
      <w:t>Running head: MINNESOTA LAW</w:t>
    </w:r>
    <w:r w:rsidRPr="00933E44">
      <w:rPr>
        <w:rFonts w:ascii="Times New Roman" w:hAnsi="Times New Roman" w:cs="Times New Roman"/>
        <w:sz w:val="24"/>
        <w:szCs w:val="24"/>
      </w:rPr>
      <w:tab/>
    </w:r>
    <w:r w:rsidRPr="00933E44">
      <w:rPr>
        <w:rFonts w:ascii="Times New Roman" w:hAnsi="Times New Roman" w:cs="Times New Roman"/>
        <w:sz w:val="24"/>
        <w:szCs w:val="24"/>
      </w:rPr>
      <w:tab/>
    </w:r>
    <w:sdt>
      <w:sdtPr>
        <w:rPr>
          <w:rFonts w:ascii="Times New Roman" w:hAnsi="Times New Roman" w:cs="Times New Roman"/>
          <w:sz w:val="24"/>
          <w:szCs w:val="24"/>
        </w:rPr>
        <w:id w:val="65539297"/>
        <w:docPartObj>
          <w:docPartGallery w:val="Page Numbers (Top of Page)"/>
          <w:docPartUnique/>
        </w:docPartObj>
      </w:sdtPr>
      <w:sdtContent>
        <w:r w:rsidRPr="00933E44">
          <w:rPr>
            <w:rFonts w:ascii="Times New Roman" w:hAnsi="Times New Roman" w:cs="Times New Roman"/>
            <w:sz w:val="24"/>
            <w:szCs w:val="24"/>
          </w:rPr>
          <w:fldChar w:fldCharType="begin"/>
        </w:r>
        <w:r w:rsidRPr="00933E44">
          <w:rPr>
            <w:rFonts w:ascii="Times New Roman" w:hAnsi="Times New Roman" w:cs="Times New Roman"/>
            <w:sz w:val="24"/>
            <w:szCs w:val="24"/>
          </w:rPr>
          <w:instrText xml:space="preserve"> PAGE   \* MERGEFORMAT </w:instrText>
        </w:r>
        <w:r w:rsidRPr="00933E44">
          <w:rPr>
            <w:rFonts w:ascii="Times New Roman" w:hAnsi="Times New Roman" w:cs="Times New Roman"/>
            <w:sz w:val="24"/>
            <w:szCs w:val="24"/>
          </w:rPr>
          <w:fldChar w:fldCharType="separate"/>
        </w:r>
        <w:r>
          <w:rPr>
            <w:rFonts w:ascii="Times New Roman" w:hAnsi="Times New Roman" w:cs="Times New Roman"/>
            <w:noProof/>
            <w:sz w:val="24"/>
            <w:szCs w:val="24"/>
          </w:rPr>
          <w:t>1</w:t>
        </w:r>
        <w:r w:rsidRPr="00933E44">
          <w:rPr>
            <w:rFonts w:ascii="Times New Roman" w:hAnsi="Times New Roman" w:cs="Times New Roman"/>
            <w:sz w:val="24"/>
            <w:szCs w:val="24"/>
          </w:rPr>
          <w:fldChar w:fldCharType="end"/>
        </w:r>
      </w:sdtContent>
    </w:sdt>
  </w:p>
  <w:p w:rsidR="00933E44" w:rsidRDefault="00933E4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DE6950"/>
    <w:multiLevelType w:val="hybridMultilevel"/>
    <w:tmpl w:val="959E7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62F7B"/>
    <w:rsid w:val="00100FDA"/>
    <w:rsid w:val="00562F7B"/>
    <w:rsid w:val="00887152"/>
    <w:rsid w:val="00933E44"/>
    <w:rsid w:val="009608E1"/>
    <w:rsid w:val="00AC48E6"/>
    <w:rsid w:val="00BB68EA"/>
    <w:rsid w:val="00CA3476"/>
    <w:rsid w:val="00F341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8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F7B"/>
    <w:pPr>
      <w:ind w:left="720"/>
      <w:contextualSpacing/>
    </w:pPr>
  </w:style>
  <w:style w:type="paragraph" w:styleId="Header">
    <w:name w:val="header"/>
    <w:basedOn w:val="Normal"/>
    <w:link w:val="HeaderChar"/>
    <w:uiPriority w:val="99"/>
    <w:unhideWhenUsed/>
    <w:rsid w:val="00933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E44"/>
  </w:style>
  <w:style w:type="paragraph" w:styleId="Footer">
    <w:name w:val="footer"/>
    <w:basedOn w:val="Normal"/>
    <w:link w:val="FooterChar"/>
    <w:uiPriority w:val="99"/>
    <w:semiHidden/>
    <w:unhideWhenUsed/>
    <w:rsid w:val="00933E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3E4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3</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Bonnie Prince</cp:lastModifiedBy>
  <cp:revision>1</cp:revision>
  <dcterms:created xsi:type="dcterms:W3CDTF">2019-02-17T15:41:00Z</dcterms:created>
  <dcterms:modified xsi:type="dcterms:W3CDTF">2019-02-17T16:58:00Z</dcterms:modified>
</cp:coreProperties>
</file>